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33B8F6E7" w:rsidR="007C2FEE" w:rsidRPr="00B8533C" w:rsidRDefault="0069644B" w:rsidP="007C2FEE">
      <w:pPr>
        <w:pStyle w:val="Head"/>
      </w:pPr>
      <w:r>
        <w:rPr>
          <w:lang w:val="tr"/>
        </w:rPr>
        <w:t>Kleemann │ Barselona'da yüksek aşındırıcı cürufların işlenmesi</w:t>
      </w:r>
    </w:p>
    <w:p w14:paraId="34A89D42" w14:textId="62597ADF" w:rsidR="007C2FEE" w:rsidRPr="00B8533C" w:rsidRDefault="00C06745" w:rsidP="007C2FEE">
      <w:pPr>
        <w:pStyle w:val="Subhead"/>
      </w:pPr>
      <w:r>
        <w:rPr>
          <w:bCs/>
          <w:iCs w:val="0"/>
          <w:lang w:val="tr"/>
        </w:rPr>
        <w:t>Darbeli kırıcı ve kaba parçalar için elek tesisi ile çelik haddeli malzeme geri dönüştürme</w:t>
      </w:r>
    </w:p>
    <w:p w14:paraId="43A5AB78" w14:textId="00210DF3" w:rsidR="007C2FEE" w:rsidRPr="00B8533C" w:rsidRDefault="00C253D5" w:rsidP="007C2FEE">
      <w:pPr>
        <w:pStyle w:val="Teaser"/>
      </w:pPr>
      <w:r>
        <w:rPr>
          <w:bCs/>
          <w:lang w:val="tr"/>
        </w:rPr>
        <w:t>Kleemann, beton ve diğer inşaat malzemelerinin geri dönüşümü için yüksek verimlilik ve çok yönlü kullanım seçenekleri sunan mobil kırma ve elek tesisleri sunmaktadır. Bu sırada, yüksek aşındırıcı cürufların işlenmesi özel bir zorluktur.</w:t>
      </w:r>
    </w:p>
    <w:p w14:paraId="45AFE0CD" w14:textId="0F20DA81" w:rsidR="007C2FEE" w:rsidRPr="00B8533C" w:rsidRDefault="00C06745" w:rsidP="008D26D8">
      <w:pPr>
        <w:pStyle w:val="Absatzberschrift"/>
      </w:pPr>
      <w:r>
        <w:rPr>
          <w:bCs/>
          <w:lang w:val="tr"/>
        </w:rPr>
        <w:t>MR 110 EVO2 ve MSS 802 EVO cürufları asfalt için katkı maddelerine dönüştürür</w:t>
      </w:r>
    </w:p>
    <w:p w14:paraId="074FF9E2" w14:textId="33CB4CF9" w:rsidR="007C2FEE" w:rsidRPr="00B8533C" w:rsidRDefault="0069644B" w:rsidP="007C2FEE">
      <w:pPr>
        <w:pStyle w:val="Standardabsatz"/>
      </w:pPr>
      <w:r>
        <w:rPr>
          <w:lang w:val="tr"/>
        </w:rPr>
        <w:t>ADEC Global başlangıçta inşaat atıklarının geri dönüşümü konusunda uzmanlaşmıştı. Ardından, çelik fabrikalarından malzeme geri dönüştürme fırsatı ortaya çıktı. İspanyol şirket, bugün yılda yaklaşık 500.000 ton malzeme işliyor ve bunun %50'si çelikle kirlenmiş siyah cüruf. “Eskiden çöp sahalarına giden atık maddeleri değerli ürünlere dönüştürüyoruz,” diyor ADEC Global'in işletme müdürü Maria Vazquez. İşleme sürecinin merkezinde, darbeli kırıcı MOBIREX MR 110 EVO2 ve kaba elek tesisi MOBISCREEN MSS 802 EVO yer almaktadır. Her ikisi de cürufları asfalt için katkı maddeleri işlemektedir. Bunlar, yol yapımında yüksek kaliteyi sağlar ve ıslak zeminde kayma riskini azaltır. Ayrıca, ayrılan demir parçaları dökümhanelere geri gönderilir.</w:t>
      </w:r>
    </w:p>
    <w:p w14:paraId="35171BA5" w14:textId="55FE7128" w:rsidR="007C2FEE" w:rsidRPr="00B8533C" w:rsidRDefault="0069644B" w:rsidP="00BC1961">
      <w:pPr>
        <w:pStyle w:val="Teaserhead"/>
        <w:jc w:val="left"/>
      </w:pPr>
      <w:r>
        <w:rPr>
          <w:bCs/>
          <w:lang w:val="tr"/>
        </w:rPr>
        <w:t>Son derece zorlu malzeme</w:t>
      </w:r>
    </w:p>
    <w:p w14:paraId="27B1FAE2" w14:textId="7CE29D47" w:rsidR="0069644B" w:rsidRPr="00B8533C" w:rsidRDefault="0069644B" w:rsidP="0069644B">
      <w:pPr>
        <w:pStyle w:val="Standardabsatz"/>
      </w:pPr>
      <w:r>
        <w:rPr>
          <w:lang w:val="tr"/>
        </w:rPr>
        <w:t xml:space="preserve">Kleemann ve İspanya’daki Kleemann tesislerinin yerel Wirtgen Group bayisi ve irtibat kişisi olan EMSA ile birlikte, bu zorlu malzeme için en uygun süreç geliştirildi. Bu sırada, aşınma parçaları alanına daha yakından bakmak gerekiyordu. Böylesine aşındırıcı malzemelerde, rotor çekiçleri yine de uzun kullanım ömrü sağlamalıydı. </w:t>
      </w:r>
    </w:p>
    <w:p w14:paraId="528C4A5A" w14:textId="58E7D1E6" w:rsidR="007C2FEE" w:rsidRPr="00B8533C" w:rsidRDefault="0069644B" w:rsidP="0069644B">
      <w:pPr>
        <w:pStyle w:val="Standardabsatz"/>
      </w:pPr>
      <w:r>
        <w:rPr>
          <w:lang w:val="tr"/>
        </w:rPr>
        <w:t>Şirkette makine parkından ve lojistikten sorumlu Oscar Hernandez, özellikle tesisin ve parçaların sağlam yapısından etkilenmiştir: “</w:t>
      </w:r>
      <w:bookmarkStart w:id="0" w:name="_Hlk202178573"/>
      <w:r>
        <w:rPr>
          <w:lang w:val="tr"/>
        </w:rPr>
        <w:t>Bu son derece aşındırıcı malzemeye dayanabilen çok az makine var. Cürufta, kırma işlemiyle açığa çıkan demir birikintileri bulunmaktadır. Bu durumda da Kleemann darbeli kırıcısı sağlam kalır. Bunu başaran başka bir tesis bilmiyorum</w:t>
      </w:r>
      <w:bookmarkEnd w:id="0"/>
      <w:r>
        <w:rPr>
          <w:lang w:val="tr"/>
        </w:rPr>
        <w:t>!“</w:t>
      </w:r>
    </w:p>
    <w:p w14:paraId="6B0D4E7C" w14:textId="22D81125" w:rsidR="007C2FEE" w:rsidRPr="00B8533C" w:rsidRDefault="0069644B" w:rsidP="007C2FEE">
      <w:pPr>
        <w:pStyle w:val="Teaserhead"/>
      </w:pPr>
      <w:r>
        <w:rPr>
          <w:bCs/>
          <w:lang w:val="tr"/>
        </w:rPr>
        <w:t>Darbeli kırıcı – Makine parkının kalbi</w:t>
      </w:r>
    </w:p>
    <w:p w14:paraId="7888EB8C" w14:textId="08EDB960" w:rsidR="007C2FEE" w:rsidRPr="00B8533C" w:rsidRDefault="00F5388A" w:rsidP="007C2FEE">
      <w:pPr>
        <w:pStyle w:val="Standardabsatz"/>
      </w:pPr>
      <w:r>
        <w:rPr>
          <w:lang w:val="tr"/>
        </w:rPr>
        <w:t>Barselona’da sürecin tamamı darbeli kırıcıya bağlıdır. Tesis orada 2018 yılından beri faaliyettedir ve 10.000 saatlik çalışma süresini geride bırakmıştır. 200 mm boyutuna kadar işlenebilir malzemeyi işler ve optimum koşullarda saatte 200 ton üretim yapar. Bir manyetik separatör, sonunda metali cüruftan ayırır. Aşırı yük sistemi gibi detaylı çözümler, tüm kırma sürecinin sorunsuz ve verimli bir şekilde yürütülmesine olumlu etki eder. Malzeme sıkışması durumunda hemen tepki verir ve kırıcıyı korur.</w:t>
      </w:r>
    </w:p>
    <w:p w14:paraId="5F0C3927" w14:textId="77777777" w:rsidR="0069644B" w:rsidRPr="00B8533C" w:rsidRDefault="0069644B" w:rsidP="00BD0653">
      <w:pPr>
        <w:pStyle w:val="Teaserhead"/>
      </w:pPr>
      <w:r>
        <w:rPr>
          <w:bCs/>
          <w:lang w:val="tr"/>
        </w:rPr>
        <w:t>Sürdürülebilirlik ve ekonomiklik</w:t>
      </w:r>
    </w:p>
    <w:p w14:paraId="50743F81" w14:textId="4F0C7718" w:rsidR="0069644B" w:rsidRPr="00B8533C" w:rsidRDefault="0069644B" w:rsidP="0069644B">
      <w:pPr>
        <w:pStyle w:val="Standardabsatz"/>
      </w:pPr>
      <w:r>
        <w:rPr>
          <w:lang w:val="tr"/>
        </w:rPr>
        <w:t>Yüksek güce sahip kırıcı, saatte sadece 19 litrelik düşük bir yakıt tüketimine sahiptir. Elek tesisi MOBISCREEN MSS 802 EVO esas olarak malzemenin temizlenmesi için kullanılır. Genel müdür Fernando Hernandez, “Burada, çift güç tahriki sayesinde, tesisi elektrikle ve dolayısıyla yerel olarak CO₂ emisyonu olmadan işletme olanağına sahibiz” diyor.</w:t>
      </w:r>
    </w:p>
    <w:p w14:paraId="6C9F02E2" w14:textId="77777777" w:rsidR="0069644B" w:rsidRPr="00B8533C" w:rsidRDefault="0069644B" w:rsidP="00BD0653">
      <w:pPr>
        <w:pStyle w:val="Teaserhead"/>
      </w:pPr>
      <w:r>
        <w:rPr>
          <w:bCs/>
          <w:lang w:val="tr"/>
        </w:rPr>
        <w:lastRenderedPageBreak/>
        <w:t>El ele süreç geliştirme</w:t>
      </w:r>
    </w:p>
    <w:p w14:paraId="1903CA87" w14:textId="0A2E05CF" w:rsidR="0069644B" w:rsidRPr="00B8533C" w:rsidRDefault="0069644B" w:rsidP="0069644B">
      <w:pPr>
        <w:pStyle w:val="Standardabsatz"/>
      </w:pPr>
      <w:r>
        <w:rPr>
          <w:lang w:val="tr"/>
        </w:rPr>
        <w:t>Bu zorlu malzemenin bugün verimli ve ekonomik bir şekilde işlenebilmesi, her şeyden önce ADEC Global ekibi ile Kleemann uygulama uzmanlarının yakın iş birliği sayesinde olmuştur. Zorlu malzemeyle yüksek ürün kalitesine ulaşmanın ekonomik bir yolu ancak bu şekilde bulunabilirdi. Maria Vazquez kısaca özetler: “Tabii ki, tüm sürecin sonunda iyi bir son ürün ortaya çıkıp çıkmadığı önemlidir. Kübiklik, asfalt üretiminde çok önemlidir. Burada, yüksek kalite standartları ve iyi bir ekonomik verimliliğin el ele gidebileceğini gösteriyoruz.”</w:t>
      </w:r>
    </w:p>
    <w:p w14:paraId="3E91343D" w14:textId="1AF5E418" w:rsidR="0069644B" w:rsidRPr="00B8533C" w:rsidRDefault="0069644B" w:rsidP="007C2FEE">
      <w:pPr>
        <w:pStyle w:val="Standardabsatz"/>
      </w:pPr>
    </w:p>
    <w:p w14:paraId="0525746E" w14:textId="77777777" w:rsidR="0069644B" w:rsidRPr="00B8533C" w:rsidRDefault="0069644B" w:rsidP="00BD0653">
      <w:pPr>
        <w:pStyle w:val="Teaserhead"/>
      </w:pPr>
      <w:r>
        <w:rPr>
          <w:bCs/>
          <w:lang w:val="tr"/>
        </w:rPr>
        <w:t>Gerçekler ve rakamlar</w:t>
      </w:r>
    </w:p>
    <w:p w14:paraId="08F05610" w14:textId="35A6480E" w:rsidR="0069644B" w:rsidRPr="00100AE9" w:rsidRDefault="0069644B" w:rsidP="00DD1EB1">
      <w:pPr>
        <w:pStyle w:val="Teaserhead"/>
      </w:pPr>
      <w:r>
        <w:rPr>
          <w:bCs/>
          <w:lang w:val="tr"/>
        </w:rPr>
        <w:t xml:space="preserve">Darbeli kırıcı MOBIREX </w:t>
      </w:r>
      <w:r>
        <w:rPr>
          <w:b w:val="0"/>
          <w:lang w:val="tr"/>
        </w:rPr>
        <w:t>MR 110 EVO2</w:t>
      </w:r>
    </w:p>
    <w:p w14:paraId="4C5039FC" w14:textId="22A19837" w:rsidR="0069644B" w:rsidRPr="00B8533C" w:rsidRDefault="0069644B" w:rsidP="00BD0653">
      <w:pPr>
        <w:pStyle w:val="Standardabsatz"/>
        <w:spacing w:after="0"/>
      </w:pPr>
      <w:r>
        <w:rPr>
          <w:lang w:val="tr"/>
        </w:rPr>
        <w:t>Yüksek performans, düşük tüketim, aşınmaya karşı dayanıklı</w:t>
      </w:r>
    </w:p>
    <w:p w14:paraId="2C17EF0D" w14:textId="73BD9D7E" w:rsidR="0069644B" w:rsidRPr="00B8533C" w:rsidRDefault="0069644B" w:rsidP="00DD1EB1">
      <w:pPr>
        <w:pStyle w:val="Standardabsatz"/>
        <w:tabs>
          <w:tab w:val="left" w:pos="4678"/>
        </w:tabs>
        <w:spacing w:after="0"/>
      </w:pPr>
      <w:r>
        <w:rPr>
          <w:lang w:val="tr"/>
        </w:rPr>
        <w:t xml:space="preserve">Güç: </w:t>
      </w:r>
      <w:r>
        <w:rPr>
          <w:lang w:val="tr"/>
        </w:rPr>
        <w:tab/>
        <w:t>200 ton/saat</w:t>
      </w:r>
    </w:p>
    <w:p w14:paraId="3C1C7397" w14:textId="2E9D85AC" w:rsidR="0069644B" w:rsidRPr="00B8533C" w:rsidRDefault="0069644B" w:rsidP="00DD1EB1">
      <w:pPr>
        <w:pStyle w:val="Standardabsatz"/>
        <w:tabs>
          <w:tab w:val="left" w:pos="4678"/>
        </w:tabs>
        <w:spacing w:after="0"/>
      </w:pPr>
      <w:r>
        <w:rPr>
          <w:lang w:val="tr"/>
        </w:rPr>
        <w:t xml:space="preserve">Tüketim: </w:t>
      </w:r>
      <w:r>
        <w:rPr>
          <w:lang w:val="tr"/>
        </w:rPr>
        <w:tab/>
        <w:t>19 l/saat</w:t>
      </w:r>
    </w:p>
    <w:p w14:paraId="3A3928C9" w14:textId="7EA68728" w:rsidR="0069644B" w:rsidRPr="00B8533C" w:rsidRDefault="0069644B" w:rsidP="00DD1EB1">
      <w:pPr>
        <w:pStyle w:val="Standardabsatz"/>
        <w:tabs>
          <w:tab w:val="left" w:pos="4678"/>
        </w:tabs>
        <w:spacing w:after="0"/>
      </w:pPr>
      <w:r>
        <w:rPr>
          <w:lang w:val="tr"/>
        </w:rPr>
        <w:t xml:space="preserve">Besleme malzemesi: </w:t>
      </w:r>
      <w:r>
        <w:rPr>
          <w:lang w:val="tr"/>
        </w:rPr>
        <w:tab/>
        <w:t>0–200 mm</w:t>
      </w:r>
    </w:p>
    <w:p w14:paraId="1CEDFEFE" w14:textId="5D902A15" w:rsidR="0069644B" w:rsidRPr="00B8533C" w:rsidRDefault="0069644B" w:rsidP="00DD1EB1">
      <w:pPr>
        <w:pStyle w:val="Standardabsatz"/>
        <w:tabs>
          <w:tab w:val="left" w:pos="4678"/>
        </w:tabs>
        <w:spacing w:after="0"/>
      </w:pPr>
      <w:r>
        <w:rPr>
          <w:lang w:val="tr"/>
        </w:rPr>
        <w:t xml:space="preserve">Nihai ürün: </w:t>
      </w:r>
      <w:r>
        <w:rPr>
          <w:lang w:val="tr"/>
        </w:rPr>
        <w:tab/>
        <w:t>0–50 mm</w:t>
      </w:r>
    </w:p>
    <w:p w14:paraId="73F75085" w14:textId="01C98812" w:rsidR="0069644B" w:rsidRPr="00B8533C" w:rsidRDefault="0069644B" w:rsidP="00DD1EB1">
      <w:pPr>
        <w:pStyle w:val="Standardabsatz"/>
        <w:tabs>
          <w:tab w:val="left" w:pos="4678"/>
        </w:tabs>
        <w:spacing w:after="0"/>
      </w:pPr>
      <w:r>
        <w:rPr>
          <w:lang w:val="tr"/>
        </w:rPr>
        <w:t xml:space="preserve">Sonraki sabit elek tesisi: </w:t>
      </w:r>
      <w:r>
        <w:rPr>
          <w:lang w:val="tr"/>
        </w:rPr>
        <w:tab/>
        <w:t>0–5 mm, 5–12 mm, 12–20 mm</w:t>
      </w:r>
    </w:p>
    <w:p w14:paraId="09A81902" w14:textId="77777777" w:rsidR="0069644B" w:rsidRPr="00B8533C" w:rsidRDefault="0069644B" w:rsidP="0069644B">
      <w:pPr>
        <w:pStyle w:val="Standardabsatz"/>
      </w:pPr>
    </w:p>
    <w:p w14:paraId="71D902B6" w14:textId="63AC2743" w:rsidR="0069644B" w:rsidRPr="00100AE9" w:rsidRDefault="0069644B" w:rsidP="00DD1EB1">
      <w:pPr>
        <w:pStyle w:val="Teaserhead"/>
      </w:pPr>
      <w:r>
        <w:rPr>
          <w:bCs/>
          <w:lang w:val="tr"/>
        </w:rPr>
        <w:t xml:space="preserve">Elek tesisi MOBISCREEN </w:t>
      </w:r>
      <w:r>
        <w:rPr>
          <w:b w:val="0"/>
          <w:lang w:val="tr"/>
        </w:rPr>
        <w:t>MSS 802 EVO</w:t>
      </w:r>
    </w:p>
    <w:p w14:paraId="0AC19E20" w14:textId="4CCA8287" w:rsidR="0069644B" w:rsidRPr="00B8533C" w:rsidRDefault="0069644B" w:rsidP="00BD0653">
      <w:pPr>
        <w:pStyle w:val="Standardabsatz"/>
        <w:spacing w:after="0"/>
      </w:pPr>
      <w:r>
        <w:rPr>
          <w:lang w:val="tr"/>
        </w:rPr>
        <w:t>Malzeme temizliğinde kullanılır.</w:t>
      </w:r>
    </w:p>
    <w:p w14:paraId="50C57309" w14:textId="2BD7123F" w:rsidR="0069644B" w:rsidRPr="00B8533C" w:rsidRDefault="0069644B" w:rsidP="00DD1EB1">
      <w:pPr>
        <w:pStyle w:val="Standardabsatz"/>
        <w:tabs>
          <w:tab w:val="left" w:pos="4678"/>
        </w:tabs>
        <w:spacing w:after="0"/>
      </w:pPr>
      <w:r>
        <w:rPr>
          <w:lang w:val="tr"/>
        </w:rPr>
        <w:t xml:space="preserve">Güç: </w:t>
      </w:r>
      <w:r>
        <w:rPr>
          <w:lang w:val="tr"/>
        </w:rPr>
        <w:tab/>
        <w:t>300 ton/saat</w:t>
      </w:r>
    </w:p>
    <w:p w14:paraId="0B7A162A" w14:textId="620EA4A1" w:rsidR="0069644B" w:rsidRPr="00B8533C" w:rsidRDefault="0069644B" w:rsidP="00DD1EB1">
      <w:pPr>
        <w:pStyle w:val="Standardabsatz"/>
        <w:tabs>
          <w:tab w:val="left" w:pos="4678"/>
        </w:tabs>
        <w:spacing w:after="0"/>
      </w:pPr>
      <w:r>
        <w:rPr>
          <w:lang w:val="tr"/>
        </w:rPr>
        <w:t xml:space="preserve">Besleme malzemesi: </w:t>
      </w:r>
      <w:r>
        <w:rPr>
          <w:lang w:val="tr"/>
        </w:rPr>
        <w:tab/>
        <w:t>400–500 mm</w:t>
      </w:r>
    </w:p>
    <w:p w14:paraId="663C1D58" w14:textId="76AE1D87" w:rsidR="0069644B" w:rsidRPr="00B8533C" w:rsidRDefault="0069644B" w:rsidP="00DD1EB1">
      <w:pPr>
        <w:pStyle w:val="Standardabsatz"/>
        <w:tabs>
          <w:tab w:val="left" w:pos="4678"/>
        </w:tabs>
        <w:spacing w:after="0"/>
      </w:pPr>
      <w:r>
        <w:rPr>
          <w:lang w:val="tr"/>
        </w:rPr>
        <w:t xml:space="preserve">Nihai ürün: </w:t>
      </w:r>
      <w:r>
        <w:rPr>
          <w:lang w:val="tr"/>
        </w:rPr>
        <w:tab/>
        <w:t>0–35 mm / 35–70 mm</w:t>
      </w:r>
    </w:p>
    <w:p w14:paraId="1FA9064A" w14:textId="326304DF" w:rsidR="0069644B" w:rsidRPr="00B8533C" w:rsidRDefault="0069644B" w:rsidP="007C2FEE">
      <w:pPr>
        <w:pStyle w:val="Standardabsatz"/>
      </w:pPr>
    </w:p>
    <w:p w14:paraId="1BBEBD80" w14:textId="2E397C4D" w:rsidR="00C253D5" w:rsidRDefault="00C253D5">
      <w:pPr>
        <w:rPr>
          <w:rFonts w:eastAsiaTheme="minorHAnsi" w:cstheme="minorBidi"/>
          <w:sz w:val="22"/>
          <w:szCs w:val="24"/>
        </w:rPr>
      </w:pPr>
      <w:r>
        <w:rPr>
          <w:lang w:val="tr"/>
        </w:rPr>
        <w:br w:type="page"/>
      </w:r>
    </w:p>
    <w:p w14:paraId="6E626492" w14:textId="77777777" w:rsidR="0069644B" w:rsidRPr="00B8533C" w:rsidRDefault="0069644B" w:rsidP="007C2FEE">
      <w:pPr>
        <w:pStyle w:val="Standardabsatz"/>
      </w:pPr>
    </w:p>
    <w:p w14:paraId="64ABBB85" w14:textId="024AAF51" w:rsidR="007C2FEE" w:rsidRPr="00B8533C" w:rsidRDefault="007C2FEE" w:rsidP="00BC487A">
      <w:pPr>
        <w:rPr>
          <w:b/>
          <w:bCs/>
          <w:sz w:val="22"/>
          <w:szCs w:val="22"/>
        </w:rPr>
      </w:pPr>
      <w:r>
        <w:rPr>
          <w:b/>
          <w:bCs/>
          <w:sz w:val="22"/>
          <w:szCs w:val="22"/>
          <w:lang w:val="tr"/>
        </w:rPr>
        <w:t>Fotoğraflar:</w:t>
      </w:r>
    </w:p>
    <w:p w14:paraId="06345839" w14:textId="50C29E2C" w:rsidR="00BC487A" w:rsidRPr="00B8533C" w:rsidRDefault="00BC487A" w:rsidP="00BC487A">
      <w:pPr>
        <w:rPr>
          <w:rFonts w:eastAsiaTheme="minorHAnsi" w:cstheme="minorBidi"/>
          <w:b/>
          <w:sz w:val="22"/>
          <w:szCs w:val="24"/>
        </w:rPr>
      </w:pPr>
    </w:p>
    <w:p w14:paraId="2466CD2C" w14:textId="19E124D9" w:rsidR="0004712D" w:rsidRPr="00100AE9" w:rsidRDefault="00100AE9" w:rsidP="00BC487A">
      <w:pPr>
        <w:rPr>
          <w:rFonts w:eastAsiaTheme="minorHAnsi" w:cstheme="minorBidi"/>
          <w:b/>
          <w:sz w:val="20"/>
          <w:szCs w:val="24"/>
        </w:rPr>
      </w:pPr>
      <w:r>
        <w:rPr>
          <w:noProof/>
          <w:lang w:val="tr"/>
        </w:rPr>
        <w:drawing>
          <wp:inline distT="0" distB="0" distL="0" distR="0" wp14:anchorId="5799A3EF" wp14:editId="76652E36">
            <wp:extent cx="2880000" cy="1921413"/>
            <wp:effectExtent l="0" t="0" r="0" b="317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880000" cy="1921413"/>
                    </a:xfrm>
                    <a:prstGeom prst="rect">
                      <a:avLst/>
                    </a:prstGeom>
                    <a:noFill/>
                    <a:ln>
                      <a:noFill/>
                    </a:ln>
                  </pic:spPr>
                </pic:pic>
              </a:graphicData>
            </a:graphic>
          </wp:inline>
        </w:drawing>
      </w:r>
      <w:r>
        <w:rPr>
          <w:sz w:val="22"/>
          <w:szCs w:val="24"/>
          <w:lang w:val="tr"/>
        </w:rPr>
        <w:br/>
      </w:r>
      <w:r>
        <w:rPr>
          <w:b/>
          <w:bCs/>
          <w:sz w:val="20"/>
          <w:szCs w:val="24"/>
          <w:lang w:val="tr"/>
        </w:rPr>
        <w:t>K_pic_MR110EVO2_Spain_0002</w:t>
      </w:r>
    </w:p>
    <w:p w14:paraId="2723867F" w14:textId="763D7A6C" w:rsidR="0004712D" w:rsidRDefault="00D7557A" w:rsidP="0004712D">
      <w:pPr>
        <w:rPr>
          <w:rFonts w:eastAsiaTheme="minorHAnsi" w:cstheme="minorBidi"/>
          <w:color w:val="000000"/>
          <w:sz w:val="20"/>
          <w:szCs w:val="20"/>
        </w:rPr>
      </w:pPr>
      <w:r>
        <w:rPr>
          <w:rFonts w:eastAsiaTheme="minorHAnsi" w:cstheme="minorBidi"/>
          <w:color w:val="000000"/>
          <w:sz w:val="20"/>
          <w:szCs w:val="20"/>
          <w:lang w:val="tr"/>
        </w:rPr>
        <w:t xml:space="preserve">Kleemann ‘ın güçlü darbeli kırıcısı MOBIREX MR 110 EVO2 makine parkının kalbidir. </w:t>
      </w:r>
    </w:p>
    <w:p w14:paraId="2F8E6EC8" w14:textId="77777777" w:rsidR="00D519A4" w:rsidRDefault="00D519A4" w:rsidP="0004712D">
      <w:pPr>
        <w:rPr>
          <w:rFonts w:eastAsiaTheme="minorHAnsi" w:cstheme="minorBidi"/>
          <w:color w:val="000000"/>
          <w:sz w:val="20"/>
          <w:szCs w:val="20"/>
        </w:rPr>
      </w:pPr>
    </w:p>
    <w:p w14:paraId="62F10504" w14:textId="77777777" w:rsidR="00D519A4" w:rsidRPr="00B8533C" w:rsidRDefault="00D519A4" w:rsidP="0004712D">
      <w:pPr>
        <w:rPr>
          <w:rFonts w:eastAsiaTheme="minorHAnsi" w:cstheme="minorBidi"/>
          <w:color w:val="000000"/>
          <w:sz w:val="20"/>
          <w:szCs w:val="20"/>
        </w:rPr>
      </w:pPr>
    </w:p>
    <w:p w14:paraId="3CBC7A62" w14:textId="535A523A" w:rsidR="00100AE9" w:rsidRPr="00100AE9" w:rsidRDefault="00D519A4" w:rsidP="0069644B">
      <w:pPr>
        <w:pStyle w:val="BUbold"/>
      </w:pPr>
      <w:r>
        <w:rPr>
          <w:b w:val="0"/>
          <w:noProof/>
          <w:color w:val="FF0000"/>
          <w:lang w:val="tr"/>
        </w:rPr>
        <w:drawing>
          <wp:inline distT="0" distB="0" distL="0" distR="0" wp14:anchorId="2CEE1E1F" wp14:editId="0CB8251D">
            <wp:extent cx="2880000" cy="162096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880000" cy="1620965"/>
                    </a:xfrm>
                    <a:prstGeom prst="rect">
                      <a:avLst/>
                    </a:prstGeom>
                    <a:noFill/>
                    <a:ln>
                      <a:noFill/>
                    </a:ln>
                  </pic:spPr>
                </pic:pic>
              </a:graphicData>
            </a:graphic>
          </wp:inline>
        </w:drawing>
      </w:r>
      <w:r>
        <w:rPr>
          <w:b w:val="0"/>
          <w:color w:val="FF0000"/>
          <w:lang w:val="tr"/>
        </w:rPr>
        <w:br/>
      </w:r>
      <w:r>
        <w:rPr>
          <w:bCs/>
          <w:lang w:val="tr"/>
        </w:rPr>
        <w:t>K_pic_jr_MR110EVO2_MSS802EVO_ADEC_Barcelona_0001</w:t>
      </w:r>
    </w:p>
    <w:p w14:paraId="2617934F" w14:textId="063CB7B7" w:rsidR="00FD4596" w:rsidRDefault="00562ACC" w:rsidP="0069644B">
      <w:pPr>
        <w:pStyle w:val="BUbold"/>
        <w:rPr>
          <w:color w:val="000000"/>
          <w:szCs w:val="20"/>
        </w:rPr>
      </w:pPr>
      <w:r>
        <w:rPr>
          <w:b w:val="0"/>
          <w:color w:val="000000"/>
          <w:szCs w:val="20"/>
          <w:lang w:val="tr"/>
        </w:rPr>
        <w:t>MOBIREX MR 110 EVO2 aşırı aşındırıcı cüruflara dayanıklıdır.</w:t>
      </w:r>
      <w:r>
        <w:rPr>
          <w:bCs/>
          <w:color w:val="000000"/>
          <w:szCs w:val="20"/>
          <w:lang w:val="tr"/>
        </w:rPr>
        <w:t xml:space="preserve"> </w:t>
      </w:r>
    </w:p>
    <w:p w14:paraId="62609EC7" w14:textId="77777777" w:rsidR="00D519A4" w:rsidRPr="00D519A4" w:rsidRDefault="00D519A4" w:rsidP="00D519A4">
      <w:pPr>
        <w:rPr>
          <w:rFonts w:eastAsiaTheme="minorHAnsi" w:cstheme="minorBidi"/>
          <w:color w:val="000000"/>
          <w:sz w:val="20"/>
          <w:szCs w:val="20"/>
        </w:rPr>
      </w:pPr>
    </w:p>
    <w:p w14:paraId="14B11AF4" w14:textId="77777777" w:rsidR="00FD4596" w:rsidRPr="00D519A4" w:rsidRDefault="00FD4596" w:rsidP="00D519A4">
      <w:pPr>
        <w:rPr>
          <w:rFonts w:eastAsiaTheme="minorHAnsi" w:cstheme="minorBidi"/>
          <w:color w:val="000000"/>
          <w:sz w:val="20"/>
          <w:szCs w:val="20"/>
        </w:rPr>
      </w:pPr>
    </w:p>
    <w:p w14:paraId="34C91F98" w14:textId="4B116ADD" w:rsidR="00100AE9" w:rsidRDefault="00100AE9" w:rsidP="00100AE9">
      <w:pPr>
        <w:pStyle w:val="BUbold"/>
      </w:pPr>
      <w:r>
        <w:rPr>
          <w:b w:val="0"/>
          <w:noProof/>
          <w:lang w:val="tr"/>
        </w:rPr>
        <w:drawing>
          <wp:inline distT="0" distB="0" distL="0" distR="0" wp14:anchorId="482D631E" wp14:editId="586B74CD">
            <wp:extent cx="2880000" cy="162096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880000" cy="1620966"/>
                    </a:xfrm>
                    <a:prstGeom prst="rect">
                      <a:avLst/>
                    </a:prstGeom>
                    <a:noFill/>
                    <a:ln>
                      <a:noFill/>
                    </a:ln>
                  </pic:spPr>
                </pic:pic>
              </a:graphicData>
            </a:graphic>
          </wp:inline>
        </w:drawing>
      </w:r>
      <w:r>
        <w:rPr>
          <w:b w:val="0"/>
          <w:lang w:val="tr"/>
        </w:rPr>
        <w:br/>
      </w:r>
      <w:r>
        <w:rPr>
          <w:bCs/>
          <w:lang w:val="tr"/>
        </w:rPr>
        <w:t>K_pic_jr_MR110EVO2_MSS802EVO_ADEC_Barcelona_0005</w:t>
      </w:r>
    </w:p>
    <w:p w14:paraId="45F12FC3" w14:textId="10AFB38A" w:rsidR="0069644B" w:rsidRPr="00100AE9" w:rsidRDefault="0069644B" w:rsidP="00100AE9">
      <w:pPr>
        <w:pStyle w:val="BUbold"/>
        <w:rPr>
          <w:b w:val="0"/>
          <w:bCs/>
        </w:rPr>
      </w:pPr>
      <w:r>
        <w:rPr>
          <w:b w:val="0"/>
          <w:lang w:val="tr"/>
        </w:rPr>
        <w:t>Memnun bir ekip: v.l.: Pablo Fernandez (EMSA Satış Danışmanı), Oscar Hernandes (ADEC Makine Sorumlusu), Fernando Hernandez (ADEC Genel Müdürü), Maria Vazquez (ADEC İşletme Müdürü), Markus Krill (Kleemann Bölge Satış Müdürü)</w:t>
      </w:r>
    </w:p>
    <w:p w14:paraId="5F7901AA" w14:textId="4E045649" w:rsidR="0069644B" w:rsidRPr="00B8533C" w:rsidRDefault="0069644B" w:rsidP="0069644B">
      <w:pPr>
        <w:pStyle w:val="Note"/>
      </w:pPr>
    </w:p>
    <w:p w14:paraId="67E83AFA" w14:textId="0486EFDF" w:rsidR="00980313" w:rsidRPr="00B8533C" w:rsidRDefault="00714D6B" w:rsidP="00A96B2E">
      <w:pPr>
        <w:pStyle w:val="Note"/>
      </w:pPr>
      <w:r>
        <w:rPr>
          <w:iCs/>
          <w:lang w:val="tr"/>
        </w:rPr>
        <w:t>Not: Bu fotoğraflar sadece ön izleme içindir. Yayınlarda çıktı almak için lütfen ekteki indirme dosyasında bulunan 300 dpi çözünürlükteki fotoğrafları kullanın.</w:t>
      </w:r>
    </w:p>
    <w:p w14:paraId="00F6195B" w14:textId="77777777" w:rsidR="00A14798" w:rsidRPr="00B8533C" w:rsidRDefault="00A14798" w:rsidP="00A14798">
      <w:pPr>
        <w:rPr>
          <w:b/>
          <w:bCs/>
          <w:sz w:val="22"/>
          <w:szCs w:val="22"/>
        </w:rPr>
      </w:pPr>
      <w:r>
        <w:rPr>
          <w:b/>
          <w:bCs/>
          <w:sz w:val="22"/>
          <w:szCs w:val="22"/>
          <w:lang w:val="tr"/>
        </w:rPr>
        <w:lastRenderedPageBreak/>
        <w:t>Video:</w:t>
      </w:r>
    </w:p>
    <w:p w14:paraId="7C37598C" w14:textId="77777777" w:rsidR="00A14798" w:rsidRPr="00B8533C" w:rsidRDefault="00A14798" w:rsidP="00A14798">
      <w:pPr>
        <w:pStyle w:val="Standardabsatz"/>
      </w:pPr>
    </w:p>
    <w:p w14:paraId="7273577A" w14:textId="62658F26" w:rsidR="00A14798" w:rsidRPr="00B8533C" w:rsidRDefault="002B1BAE" w:rsidP="00A14798">
      <w:pPr>
        <w:pStyle w:val="Standardabsatz"/>
      </w:pPr>
      <w:r>
        <w:rPr>
          <w:noProof/>
          <w:lang w:val="tr"/>
        </w:rPr>
        <w:drawing>
          <wp:inline distT="0" distB="0" distL="0" distR="0" wp14:anchorId="11EBA566" wp14:editId="34221774">
            <wp:extent cx="2880000" cy="1619924"/>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3" cstate="screen">
                      <a:extLst>
                        <a:ext uri="{28A0092B-C50C-407E-A947-70E740481C1C}">
                          <a14:useLocalDpi xmlns:a14="http://schemas.microsoft.com/office/drawing/2010/main"/>
                        </a:ext>
                      </a:extLst>
                    </a:blip>
                    <a:stretch>
                      <a:fillRect/>
                    </a:stretch>
                  </pic:blipFill>
                  <pic:spPr>
                    <a:xfrm>
                      <a:off x="0" y="0"/>
                      <a:ext cx="2880000" cy="1619924"/>
                    </a:xfrm>
                    <a:prstGeom prst="rect">
                      <a:avLst/>
                    </a:prstGeom>
                  </pic:spPr>
                </pic:pic>
              </a:graphicData>
            </a:graphic>
          </wp:inline>
        </w:drawing>
      </w:r>
    </w:p>
    <w:p w14:paraId="4DEFE638" w14:textId="7E63C56B" w:rsidR="00A14798" w:rsidRPr="00004002" w:rsidRDefault="00004002" w:rsidP="00A14798">
      <w:pPr>
        <w:pStyle w:val="Standardabsatz"/>
        <w:rPr>
          <w:rStyle w:val="Hyperlink"/>
          <w:bCs/>
          <w:iCs/>
          <w:sz w:val="20"/>
          <w:szCs w:val="20"/>
        </w:rPr>
      </w:pPr>
      <w:r>
        <w:rPr>
          <w:sz w:val="20"/>
          <w:szCs w:val="20"/>
          <w:lang w:val="tr"/>
        </w:rPr>
        <w:fldChar w:fldCharType="begin"/>
      </w:r>
      <w:r>
        <w:rPr>
          <w:sz w:val="20"/>
          <w:szCs w:val="20"/>
          <w:lang w:val="tr"/>
        </w:rPr>
        <w:instrText xml:space="preserve"> HYPERLINK "https://youtu.be/W0sbPupRAaE" </w:instrText>
      </w:r>
      <w:r>
        <w:rPr>
          <w:sz w:val="20"/>
          <w:szCs w:val="20"/>
          <w:lang w:val="tr"/>
        </w:rPr>
        <w:fldChar w:fldCharType="separate"/>
      </w:r>
      <w:r>
        <w:rPr>
          <w:rStyle w:val="Hyperlink"/>
          <w:sz w:val="20"/>
          <w:szCs w:val="20"/>
          <w:lang w:val="tr"/>
        </w:rPr>
        <w:t>Videoyu izlemek için lütfen buraya tıklayın.</w:t>
      </w:r>
    </w:p>
    <w:p w14:paraId="798911C3" w14:textId="392F152E" w:rsidR="002B1BAE" w:rsidRPr="00B8533C" w:rsidRDefault="00004002" w:rsidP="00004002">
      <w:pPr>
        <w:pStyle w:val="Standardabsatz"/>
      </w:pPr>
      <w:r>
        <w:rPr>
          <w:sz w:val="20"/>
          <w:szCs w:val="20"/>
          <w:lang w:val="tr"/>
        </w:rPr>
        <w:fldChar w:fldCharType="end"/>
      </w:r>
    </w:p>
    <w:bookmarkStart w:id="1" w:name="_Hlk177486135"/>
    <w:p w14:paraId="075FD8C6" w14:textId="2CB5DBAB" w:rsidR="00A14798" w:rsidRPr="00B8533C" w:rsidRDefault="00A14798" w:rsidP="00A14798">
      <w:pPr>
        <w:snapToGrid w:val="0"/>
        <w:contextualSpacing/>
        <w:rPr>
          <w:rStyle w:val="Hyperlink"/>
          <w:b/>
          <w:iCs/>
          <w:sz w:val="22"/>
          <w:szCs w:val="24"/>
        </w:rPr>
      </w:pPr>
      <w:r>
        <w:rPr>
          <w:color w:val="0070C0"/>
          <w:sz w:val="20"/>
          <w:szCs w:val="20"/>
          <w:lang w:val="tr"/>
        </w:rPr>
        <w:fldChar w:fldCharType="begin"/>
      </w:r>
      <w:r>
        <w:rPr>
          <w:color w:val="0070C0"/>
          <w:sz w:val="20"/>
          <w:szCs w:val="20"/>
          <w:lang w:val="tr"/>
        </w:rPr>
        <w:instrText>HYPERLINK "https://www.youtube.com/@WirtgenGroup"</w:instrText>
      </w:r>
      <w:r>
        <w:rPr>
          <w:color w:val="0070C0"/>
          <w:sz w:val="20"/>
          <w:szCs w:val="20"/>
          <w:lang w:val="tr"/>
        </w:rPr>
        <w:fldChar w:fldCharType="separate"/>
      </w:r>
      <w:r>
        <w:rPr>
          <w:rStyle w:val="Hyperlink"/>
          <w:b/>
          <w:bCs/>
          <w:sz w:val="20"/>
          <w:szCs w:val="20"/>
          <w:lang w:val="tr"/>
        </w:rPr>
        <w:t>Daha fazla videoyu Wirtgen Group YouTube kanalında bulabilirsiniz.</w:t>
      </w:r>
    </w:p>
    <w:bookmarkEnd w:id="1"/>
    <w:p w14:paraId="47ACE4D3" w14:textId="030BE306" w:rsidR="00A14798" w:rsidRPr="00B8533C" w:rsidRDefault="00A14798" w:rsidP="00A14798">
      <w:pPr>
        <w:pStyle w:val="Standardabsatz"/>
      </w:pPr>
      <w:r>
        <w:rPr>
          <w:b/>
          <w:bCs/>
          <w:color w:val="0070C0"/>
          <w:sz w:val="20"/>
          <w:szCs w:val="20"/>
          <w:u w:val="single"/>
          <w:lang w:val="tr"/>
        </w:rPr>
        <w:fldChar w:fldCharType="end"/>
      </w:r>
    </w:p>
    <w:p w14:paraId="65072755" w14:textId="77777777" w:rsidR="00A14798" w:rsidRPr="00B8533C" w:rsidRDefault="00A14798" w:rsidP="00A14798">
      <w:pPr>
        <w:pStyle w:val="Standardabsatz"/>
      </w:pPr>
    </w:p>
    <w:p w14:paraId="717825D0" w14:textId="4B1B0DAB" w:rsidR="00B409DF" w:rsidRPr="00B8533C" w:rsidRDefault="00B409DF" w:rsidP="00B409DF">
      <w:pPr>
        <w:pStyle w:val="Absatzberschrift"/>
        <w:rPr>
          <w:iCs/>
        </w:rPr>
      </w:pPr>
      <w:r>
        <w:rPr>
          <w:bCs/>
          <w:lang w:val="tr"/>
        </w:rPr>
        <w:t>Ayrıntılı bilgiler için:</w:t>
      </w:r>
    </w:p>
    <w:p w14:paraId="294F8CA8" w14:textId="77777777" w:rsidR="00B409DF" w:rsidRPr="00B8533C" w:rsidRDefault="00B409DF" w:rsidP="00B409DF">
      <w:pPr>
        <w:pStyle w:val="Absatzberschrift"/>
      </w:pPr>
    </w:p>
    <w:p w14:paraId="6BD3D8AD" w14:textId="77777777" w:rsidR="00B409DF" w:rsidRPr="00B8533C" w:rsidRDefault="00B409DF" w:rsidP="00B409DF">
      <w:pPr>
        <w:pStyle w:val="Absatzberschrift"/>
        <w:rPr>
          <w:b w:val="0"/>
          <w:bCs/>
          <w:szCs w:val="22"/>
        </w:rPr>
      </w:pPr>
      <w:r>
        <w:rPr>
          <w:b w:val="0"/>
          <w:lang w:val="tr"/>
        </w:rPr>
        <w:t>WIRTGEN GROUP</w:t>
      </w:r>
    </w:p>
    <w:p w14:paraId="392C6846" w14:textId="77777777" w:rsidR="00B409DF" w:rsidRPr="00B8533C" w:rsidRDefault="00B409DF" w:rsidP="00B409DF">
      <w:pPr>
        <w:pStyle w:val="Fuzeile1"/>
      </w:pPr>
      <w:r>
        <w:rPr>
          <w:bCs w:val="0"/>
          <w:iCs w:val="0"/>
          <w:lang w:val="tr"/>
        </w:rPr>
        <w:t>Public Relations</w:t>
      </w:r>
    </w:p>
    <w:p w14:paraId="77A90FFB" w14:textId="77777777" w:rsidR="00B409DF" w:rsidRPr="00B8533C" w:rsidRDefault="00B409DF" w:rsidP="00B409DF">
      <w:pPr>
        <w:pStyle w:val="Fuzeile1"/>
      </w:pPr>
      <w:r>
        <w:rPr>
          <w:bCs w:val="0"/>
          <w:iCs w:val="0"/>
          <w:lang w:val="tr"/>
        </w:rPr>
        <w:t>Reinhard-Wirtgen-Straße 2</w:t>
      </w:r>
    </w:p>
    <w:p w14:paraId="2BD7061F" w14:textId="77777777" w:rsidR="00B409DF" w:rsidRPr="00B8533C" w:rsidRDefault="00B409DF" w:rsidP="00B409DF">
      <w:pPr>
        <w:pStyle w:val="Fuzeile1"/>
      </w:pPr>
      <w:r>
        <w:rPr>
          <w:bCs w:val="0"/>
          <w:iCs w:val="0"/>
          <w:lang w:val="tr"/>
        </w:rPr>
        <w:t>53578 Windhagen</w:t>
      </w:r>
    </w:p>
    <w:p w14:paraId="7312A980" w14:textId="77777777" w:rsidR="00B409DF" w:rsidRPr="00B8533C" w:rsidRDefault="00B409DF" w:rsidP="00B409DF">
      <w:pPr>
        <w:pStyle w:val="Fuzeile1"/>
      </w:pPr>
      <w:r>
        <w:rPr>
          <w:bCs w:val="0"/>
          <w:iCs w:val="0"/>
          <w:lang w:val="tr"/>
        </w:rPr>
        <w:t>Almanya</w:t>
      </w:r>
    </w:p>
    <w:p w14:paraId="2DFD9654" w14:textId="77777777" w:rsidR="00B409DF" w:rsidRPr="00B8533C" w:rsidRDefault="00B409DF" w:rsidP="00B409DF">
      <w:pPr>
        <w:pStyle w:val="Fuzeile1"/>
      </w:pPr>
    </w:p>
    <w:p w14:paraId="747CCDAF" w14:textId="738155A8" w:rsidR="00B409DF" w:rsidRPr="00B8533C" w:rsidRDefault="00B409DF" w:rsidP="00B409DF">
      <w:pPr>
        <w:pStyle w:val="Fuzeile1"/>
        <w:rPr>
          <w:rFonts w:ascii="Times New Roman" w:hAnsi="Times New Roman" w:cs="Times New Roman"/>
        </w:rPr>
      </w:pPr>
      <w:r>
        <w:rPr>
          <w:bCs w:val="0"/>
          <w:iCs w:val="0"/>
          <w:lang w:val="tr"/>
        </w:rPr>
        <w:t xml:space="preserve">Telefon: </w:t>
      </w:r>
      <w:r>
        <w:rPr>
          <w:bCs w:val="0"/>
          <w:iCs w:val="0"/>
          <w:lang w:val="tr"/>
        </w:rPr>
        <w:tab/>
        <w:t>+49 (0) 2645 131 – 1966</w:t>
      </w:r>
    </w:p>
    <w:p w14:paraId="72EBA31D" w14:textId="43BFF2F6" w:rsidR="00B409DF" w:rsidRPr="00B8533C" w:rsidRDefault="00B409DF" w:rsidP="00B409DF">
      <w:pPr>
        <w:pStyle w:val="Fuzeile1"/>
      </w:pPr>
      <w:r>
        <w:rPr>
          <w:bCs w:val="0"/>
          <w:iCs w:val="0"/>
          <w:lang w:val="tr"/>
        </w:rPr>
        <w:t xml:space="preserve">Faks: </w:t>
      </w:r>
      <w:r>
        <w:rPr>
          <w:bCs w:val="0"/>
          <w:iCs w:val="0"/>
          <w:lang w:val="tr"/>
        </w:rPr>
        <w:tab/>
        <w:t>+49 (0) 2645 131 – 499</w:t>
      </w:r>
    </w:p>
    <w:p w14:paraId="54DD8925" w14:textId="35D8949F" w:rsidR="00B409DF" w:rsidRPr="00B8533C" w:rsidRDefault="00B409DF" w:rsidP="00B409DF">
      <w:pPr>
        <w:pStyle w:val="Fuzeile1"/>
      </w:pPr>
      <w:r>
        <w:rPr>
          <w:bCs w:val="0"/>
          <w:iCs w:val="0"/>
          <w:lang w:val="tr"/>
        </w:rPr>
        <w:t xml:space="preserve">e-posta: </w:t>
      </w:r>
      <w:r>
        <w:rPr>
          <w:bCs w:val="0"/>
          <w:iCs w:val="0"/>
          <w:lang w:val="tr"/>
        </w:rPr>
        <w:tab/>
        <w:t>PR@wirtgen-group.com</w:t>
      </w:r>
    </w:p>
    <w:p w14:paraId="51E322C9" w14:textId="77777777" w:rsidR="00B409DF" w:rsidRPr="00B8533C" w:rsidRDefault="00B409DF" w:rsidP="00B409DF">
      <w:pPr>
        <w:pStyle w:val="Fuzeile1"/>
        <w:rPr>
          <w:vanish/>
        </w:rPr>
      </w:pPr>
    </w:p>
    <w:p w14:paraId="11BA6AC4" w14:textId="77777777" w:rsidR="00B409DF" w:rsidRPr="00B8533C" w:rsidRDefault="00B409DF" w:rsidP="00B409DF">
      <w:pPr>
        <w:pStyle w:val="Fuzeile1"/>
      </w:pPr>
      <w:r>
        <w:rPr>
          <w:bCs w:val="0"/>
          <w:iCs w:val="0"/>
          <w:lang w:val="tr"/>
        </w:rPr>
        <w:t>www.wirtgen-group.com</w:t>
      </w:r>
    </w:p>
    <w:p w14:paraId="3D604A55" w14:textId="179BBC00" w:rsidR="00F048D4" w:rsidRPr="00B8533C" w:rsidRDefault="00F048D4" w:rsidP="00F74540">
      <w:pPr>
        <w:pStyle w:val="Fuzeile1"/>
      </w:pPr>
    </w:p>
    <w:sectPr w:rsidR="00F048D4" w:rsidRPr="00B8533C"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tr"/>
            </w:rPr>
            <w:t>WIRTGEN</w:t>
          </w:r>
          <w:r>
            <w:rPr>
              <w:rStyle w:val="Hervorhebung"/>
              <w:bCs/>
              <w:iCs w:val="0"/>
              <w:szCs w:val="20"/>
              <w:lang w:val="tr"/>
            </w:rPr>
            <w:t xml:space="preserve">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tr"/>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tr"/>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5C368163" w:rsidR="00615CDA" w:rsidRPr="00615CDA" w:rsidRDefault="00BD0653">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5C368163" w:rsidR="00615CDA" w:rsidRPr="00615CDA" w:rsidRDefault="00BD0653">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r>
      <w:rPr>
        <w:noProof/>
        <w:lang w:val="t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tr"/>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Company Use</w:t>
                    </w:r>
                  </w:p>
                </w:txbxContent>
              </v:textbox>
              <w10:wrap type="square" anchorx="margin"/>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visibility:visible;mso-wrap-style:square" o:bullet="t">
        <v:imagedata r:id="rId1" o:title=""/>
      </v:shape>
    </w:pict>
  </w:numPicBullet>
  <w:numPicBullet w:numPicBulletId="1">
    <w:pict>
      <v:shape id="_x0000_i1027" type="#_x0000_t75" style="width:7.5pt;height:7.5pt;visibility:visible;mso-wrap-style:square" o:bullet="t">
        <v:imagedata r:id="rId2" o:title=""/>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002"/>
    <w:rsid w:val="00004F75"/>
    <w:rsid w:val="0000551D"/>
    <w:rsid w:val="00005EF2"/>
    <w:rsid w:val="0000745C"/>
    <w:rsid w:val="000148B3"/>
    <w:rsid w:val="00017575"/>
    <w:rsid w:val="00024BFC"/>
    <w:rsid w:val="000278CB"/>
    <w:rsid w:val="000401F1"/>
    <w:rsid w:val="00042106"/>
    <w:rsid w:val="0004712D"/>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0AE9"/>
    <w:rsid w:val="00103205"/>
    <w:rsid w:val="0011795C"/>
    <w:rsid w:val="0012026F"/>
    <w:rsid w:val="00130601"/>
    <w:rsid w:val="00132055"/>
    <w:rsid w:val="001408BE"/>
    <w:rsid w:val="00143885"/>
    <w:rsid w:val="0014533D"/>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44386"/>
    <w:rsid w:val="00253A2E"/>
    <w:rsid w:val="002603EC"/>
    <w:rsid w:val="00282AFC"/>
    <w:rsid w:val="00286C15"/>
    <w:rsid w:val="0029634D"/>
    <w:rsid w:val="002B1BAE"/>
    <w:rsid w:val="002B6961"/>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2E4"/>
    <w:rsid w:val="003665BE"/>
    <w:rsid w:val="00384A08"/>
    <w:rsid w:val="003850A9"/>
    <w:rsid w:val="00392927"/>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A55FB"/>
    <w:rsid w:val="004B3E60"/>
    <w:rsid w:val="004C1967"/>
    <w:rsid w:val="004D23D0"/>
    <w:rsid w:val="004D2BE0"/>
    <w:rsid w:val="004E0A77"/>
    <w:rsid w:val="004E61FD"/>
    <w:rsid w:val="004E6EF5"/>
    <w:rsid w:val="004E74CA"/>
    <w:rsid w:val="004F680C"/>
    <w:rsid w:val="00506409"/>
    <w:rsid w:val="00530E32"/>
    <w:rsid w:val="00533132"/>
    <w:rsid w:val="00534889"/>
    <w:rsid w:val="00537210"/>
    <w:rsid w:val="00541C9E"/>
    <w:rsid w:val="00562ACC"/>
    <w:rsid w:val="005649F4"/>
    <w:rsid w:val="005710C8"/>
    <w:rsid w:val="005711A3"/>
    <w:rsid w:val="00571A5C"/>
    <w:rsid w:val="00573B2B"/>
    <w:rsid w:val="005776E9"/>
    <w:rsid w:val="00587AD9"/>
    <w:rsid w:val="005909A8"/>
    <w:rsid w:val="005931CB"/>
    <w:rsid w:val="00594C67"/>
    <w:rsid w:val="005A2B78"/>
    <w:rsid w:val="005A4F04"/>
    <w:rsid w:val="005B45F7"/>
    <w:rsid w:val="005B5793"/>
    <w:rsid w:val="005C6B30"/>
    <w:rsid w:val="005C71EC"/>
    <w:rsid w:val="005D7B09"/>
    <w:rsid w:val="005E764C"/>
    <w:rsid w:val="005F16C3"/>
    <w:rsid w:val="005F5715"/>
    <w:rsid w:val="006063D4"/>
    <w:rsid w:val="00612D6C"/>
    <w:rsid w:val="00615CDA"/>
    <w:rsid w:val="00623B37"/>
    <w:rsid w:val="006330A2"/>
    <w:rsid w:val="00642EB6"/>
    <w:rsid w:val="006433E2"/>
    <w:rsid w:val="00651E5D"/>
    <w:rsid w:val="00677F11"/>
    <w:rsid w:val="00682B1A"/>
    <w:rsid w:val="00690D7C"/>
    <w:rsid w:val="00690DFE"/>
    <w:rsid w:val="00691678"/>
    <w:rsid w:val="0069644B"/>
    <w:rsid w:val="006B3EEC"/>
    <w:rsid w:val="006C0C87"/>
    <w:rsid w:val="006D7EAC"/>
    <w:rsid w:val="006E0104"/>
    <w:rsid w:val="006F7602"/>
    <w:rsid w:val="007100BC"/>
    <w:rsid w:val="00714D6B"/>
    <w:rsid w:val="00722A17"/>
    <w:rsid w:val="00723F4F"/>
    <w:rsid w:val="00755AE0"/>
    <w:rsid w:val="0075761B"/>
    <w:rsid w:val="00757B83"/>
    <w:rsid w:val="00761D67"/>
    <w:rsid w:val="00774358"/>
    <w:rsid w:val="00791A69"/>
    <w:rsid w:val="0079462A"/>
    <w:rsid w:val="00794830"/>
    <w:rsid w:val="00797CAA"/>
    <w:rsid w:val="007A2B6F"/>
    <w:rsid w:val="007A46B3"/>
    <w:rsid w:val="007A6BD2"/>
    <w:rsid w:val="007B00DF"/>
    <w:rsid w:val="007B7CE0"/>
    <w:rsid w:val="007C2658"/>
    <w:rsid w:val="007C2FEE"/>
    <w:rsid w:val="007C4A1C"/>
    <w:rsid w:val="007D0575"/>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7BB7"/>
    <w:rsid w:val="0090337E"/>
    <w:rsid w:val="009049D8"/>
    <w:rsid w:val="00910609"/>
    <w:rsid w:val="009125E2"/>
    <w:rsid w:val="00914C7E"/>
    <w:rsid w:val="00915841"/>
    <w:rsid w:val="00922098"/>
    <w:rsid w:val="00931147"/>
    <w:rsid w:val="009328FA"/>
    <w:rsid w:val="00936A78"/>
    <w:rsid w:val="009375E1"/>
    <w:rsid w:val="00952853"/>
    <w:rsid w:val="009646E4"/>
    <w:rsid w:val="00977EC3"/>
    <w:rsid w:val="00980313"/>
    <w:rsid w:val="0098631D"/>
    <w:rsid w:val="009877C8"/>
    <w:rsid w:val="009B17A9"/>
    <w:rsid w:val="009B211F"/>
    <w:rsid w:val="009B2C58"/>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4798"/>
    <w:rsid w:val="00A171F4"/>
    <w:rsid w:val="00A1772D"/>
    <w:rsid w:val="00A177B2"/>
    <w:rsid w:val="00A22BD8"/>
    <w:rsid w:val="00A22D39"/>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508"/>
    <w:rsid w:val="00B409DF"/>
    <w:rsid w:val="00B5232A"/>
    <w:rsid w:val="00B60ED1"/>
    <w:rsid w:val="00B62CF5"/>
    <w:rsid w:val="00B63C90"/>
    <w:rsid w:val="00B65A46"/>
    <w:rsid w:val="00B70425"/>
    <w:rsid w:val="00B8533C"/>
    <w:rsid w:val="00B85705"/>
    <w:rsid w:val="00B874DC"/>
    <w:rsid w:val="00B90F78"/>
    <w:rsid w:val="00B91123"/>
    <w:rsid w:val="00B937EB"/>
    <w:rsid w:val="00B955DE"/>
    <w:rsid w:val="00BA7BC5"/>
    <w:rsid w:val="00BC0E38"/>
    <w:rsid w:val="00BC1961"/>
    <w:rsid w:val="00BC487A"/>
    <w:rsid w:val="00BD0653"/>
    <w:rsid w:val="00BD1058"/>
    <w:rsid w:val="00BD50F6"/>
    <w:rsid w:val="00BD5391"/>
    <w:rsid w:val="00BD5987"/>
    <w:rsid w:val="00BD764C"/>
    <w:rsid w:val="00BF56B2"/>
    <w:rsid w:val="00C03EFB"/>
    <w:rsid w:val="00C055AB"/>
    <w:rsid w:val="00C06745"/>
    <w:rsid w:val="00C11F95"/>
    <w:rsid w:val="00C136DF"/>
    <w:rsid w:val="00C17501"/>
    <w:rsid w:val="00C232C2"/>
    <w:rsid w:val="00C253D5"/>
    <w:rsid w:val="00C40627"/>
    <w:rsid w:val="00C43EAF"/>
    <w:rsid w:val="00C457C3"/>
    <w:rsid w:val="00C644CA"/>
    <w:rsid w:val="00C658FC"/>
    <w:rsid w:val="00C73005"/>
    <w:rsid w:val="00C76360"/>
    <w:rsid w:val="00C84FDC"/>
    <w:rsid w:val="00C85E18"/>
    <w:rsid w:val="00C9523E"/>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519A4"/>
    <w:rsid w:val="00D57EDA"/>
    <w:rsid w:val="00D63D33"/>
    <w:rsid w:val="00D73352"/>
    <w:rsid w:val="00D74EA4"/>
    <w:rsid w:val="00D7557A"/>
    <w:rsid w:val="00D84E46"/>
    <w:rsid w:val="00D935C3"/>
    <w:rsid w:val="00DA0266"/>
    <w:rsid w:val="00DA0F4B"/>
    <w:rsid w:val="00DA477E"/>
    <w:rsid w:val="00DB4BB0"/>
    <w:rsid w:val="00DD0C2F"/>
    <w:rsid w:val="00DD1EB1"/>
    <w:rsid w:val="00DE461D"/>
    <w:rsid w:val="00E04039"/>
    <w:rsid w:val="00E065DF"/>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14EF3"/>
    <w:rsid w:val="00F207FE"/>
    <w:rsid w:val="00F20920"/>
    <w:rsid w:val="00F23212"/>
    <w:rsid w:val="00F33B16"/>
    <w:rsid w:val="00F353EA"/>
    <w:rsid w:val="00F36C27"/>
    <w:rsid w:val="00F5388A"/>
    <w:rsid w:val="00F56318"/>
    <w:rsid w:val="00F67C95"/>
    <w:rsid w:val="00F74540"/>
    <w:rsid w:val="00F75B79"/>
    <w:rsid w:val="00F82525"/>
    <w:rsid w:val="00F91AC4"/>
    <w:rsid w:val="00F97FEA"/>
    <w:rsid w:val="00FA2DD8"/>
    <w:rsid w:val="00FB5CB4"/>
    <w:rsid w:val="00FB60E1"/>
    <w:rsid w:val="00FD1E6F"/>
    <w:rsid w:val="00FD3768"/>
    <w:rsid w:val="00FD4596"/>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0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14798"/>
    <w:rPr>
      <w:color w:val="605E5C"/>
      <w:shd w:val="clear" w:color="auto" w:fill="E1DFDD"/>
    </w:rPr>
  </w:style>
  <w:style w:type="paragraph" w:styleId="berarbeitung">
    <w:name w:val="Revision"/>
    <w:hidden/>
    <w:uiPriority w:val="71"/>
    <w:semiHidden/>
    <w:rsid w:val="00D7557A"/>
    <w:rPr>
      <w:sz w:val="16"/>
      <w:szCs w:val="16"/>
      <w:lang w:eastAsia="en-US"/>
    </w:rPr>
  </w:style>
  <w:style w:type="character" w:styleId="BesuchterLink">
    <w:name w:val="FollowedHyperlink"/>
    <w:basedOn w:val="Absatz-Standardschriftart"/>
    <w:uiPriority w:val="99"/>
    <w:semiHidden/>
    <w:unhideWhenUsed/>
    <w:rsid w:val="0000400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2.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3.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679</Words>
  <Characters>4278</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4948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8</cp:revision>
  <cp:lastPrinted>2021-10-20T14:00:00Z</cp:lastPrinted>
  <dcterms:created xsi:type="dcterms:W3CDTF">2025-07-08T10:19:00Z</dcterms:created>
  <dcterms:modified xsi:type="dcterms:W3CDTF">2025-07-30T09:53:00Z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